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</w:rPr>
        <w:t xml:space="preserve">拍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eastAsia="zh-CN"/>
        </w:rPr>
        <w:t>租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</w:rPr>
        <w:t xml:space="preserve">  公  告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</w:p>
    <w:p>
      <w:pPr>
        <w:widowControl/>
        <w:spacing w:line="400" w:lineRule="exact"/>
        <w:ind w:firstLine="602" w:firstLineChars="200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宜春市国有资产运营有限责任公司将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委托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江西浩发拍卖有限对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公司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2022年第一批经营性房产租赁权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进行公开拍卖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。该批标的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  <w:t>采取现场拍卖方式公开竞租。标的明细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  <w:lang w:eastAsia="zh-CN"/>
        </w:rPr>
        <w:t>及相关规则详见</w:t>
      </w:r>
      <w:r>
        <w:rPr>
          <w:rFonts w:hint="eastAsia" w:ascii="宋体" w:hAnsi="宋体" w:cs="宋体"/>
          <w:b/>
          <w:color w:val="auto"/>
          <w:sz w:val="30"/>
          <w:szCs w:val="30"/>
          <w:highlight w:val="none"/>
          <w:lang w:eastAsia="zh-CN"/>
        </w:rPr>
        <w:t>拍租</w:t>
      </w:r>
      <w:r>
        <w:rPr>
          <w:rFonts w:hint="eastAsia" w:ascii="宋体" w:hAnsi="宋体" w:eastAsia="宋体" w:cs="宋体"/>
          <w:b/>
          <w:color w:val="auto"/>
          <w:sz w:val="30"/>
          <w:szCs w:val="30"/>
          <w:highlight w:val="none"/>
          <w:lang w:eastAsia="zh-CN"/>
        </w:rPr>
        <w:t>文件。</w:t>
      </w:r>
    </w:p>
    <w:p>
      <w:pPr>
        <w:pStyle w:val="4"/>
        <w:spacing w:before="0" w:beforeAutospacing="0" w:after="0" w:afterAutospacing="0" w:line="400" w:lineRule="exact"/>
        <w:ind w:firstLine="602" w:firstLineChars="200"/>
        <w:jc w:val="both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即日起接受咨询、看样，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意向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eastAsia="zh-CN"/>
        </w:rPr>
        <w:t>承租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人可</w:t>
      </w:r>
      <w:r>
        <w:rPr>
          <w:rFonts w:hint="eastAsia" w:cs="宋体"/>
          <w:b/>
          <w:color w:val="auto"/>
          <w:sz w:val="30"/>
          <w:szCs w:val="30"/>
          <w:highlight w:val="none"/>
          <w:lang w:eastAsia="zh-CN"/>
        </w:rPr>
        <w:t>按照附表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将竞买保证金汇入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指定账户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eastAsia="zh-CN"/>
        </w:rPr>
        <w:t>（单位名称：江西浩发拍卖有限公司，开户银行：江西银行南昌东湖支行营业部，账号：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val="en-US" w:eastAsia="zh-CN"/>
        </w:rPr>
        <w:t xml:space="preserve">791909150700011 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。</w:t>
      </w:r>
    </w:p>
    <w:p>
      <w:pPr>
        <w:pStyle w:val="4"/>
        <w:spacing w:before="0" w:beforeAutospacing="0" w:after="0" w:afterAutospacing="0" w:line="400" w:lineRule="exact"/>
        <w:ind w:firstLine="602" w:firstLineChars="200"/>
        <w:jc w:val="both"/>
        <w:rPr>
          <w:rFonts w:hint="default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拍卖当天，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竞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eastAsia="zh-CN"/>
        </w:rPr>
        <w:t>拍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人携保证金交款凭证、报名主体的有效证件（个人提交身份证原件及复印件，法人提交营业执照原件及复印件及法人身份证原件及复印件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含授权委托书）到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val="en-US" w:eastAsia="zh-CN"/>
        </w:rPr>
        <w:t>安缦文华酒店三楼华硕厅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办理竞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eastAsia="zh-CN"/>
        </w:rPr>
        <w:t>拍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手续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eastAsia="zh-CN"/>
        </w:rPr>
        <w:t>，报名时需交纳资料费</w:t>
      </w:r>
      <w:r>
        <w:rPr>
          <w:rFonts w:hint="eastAsia" w:cs="宋体"/>
          <w:b/>
          <w:bCs/>
          <w:color w:val="auto"/>
          <w:sz w:val="30"/>
          <w:szCs w:val="30"/>
          <w:highlight w:val="none"/>
          <w:lang w:val="en-US" w:eastAsia="zh-CN"/>
        </w:rPr>
        <w:t>200元/人（资料费不予退还）。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报名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时间：截止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至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24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</w:rPr>
        <w:t>日17：00止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hint="default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  <w:t>竞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  <w:t>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  <w:t>登记地点：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宜春市袁州区袁山中路12号三楼                          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拍卖时间：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25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u w:val="single"/>
        </w:rPr>
        <w:t>日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eastAsia="zh-CN"/>
        </w:rPr>
        <w:t>下午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15:00           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 xml:space="preserve"> </w:t>
      </w:r>
    </w:p>
    <w:p>
      <w:pPr>
        <w:widowControl/>
        <w:shd w:val="clear" w:color="auto" w:fill="FFFFFF"/>
        <w:spacing w:line="400" w:lineRule="exact"/>
        <w:ind w:left="1953" w:leftChars="227" w:hanging="1476" w:hangingChars="490"/>
        <w:jc w:val="left"/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  <w:t>拍卖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地点：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宜春市袁州区宜阳大道19号安缦文华酒店三楼华硕厅                           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咨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</w:rPr>
        <w:t>询电话：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 xml:space="preserve">13576548877（钟）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13607045138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（陈）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                          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宜春市国有资产运营有限责任公司</w:t>
      </w: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center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2022年7月12日</w:t>
      </w: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jc w:val="both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（附表见下一页）</w:t>
      </w: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left="1854" w:leftChars="227" w:hanging="1377" w:hangingChars="490"/>
        <w:jc w:val="righ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idowControl/>
        <w:shd w:val="clear" w:color="auto" w:fill="FFFFFF"/>
        <w:spacing w:line="400" w:lineRule="exact"/>
        <w:jc w:val="both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附表：</w:t>
      </w:r>
    </w:p>
    <w:tbl>
      <w:tblPr>
        <w:tblStyle w:val="2"/>
        <w:tblpPr w:leftFromText="180" w:rightFromText="180" w:vertAnchor="text" w:horzAnchor="page" w:tblpX="2026" w:tblpY="927"/>
        <w:tblOverlap w:val="never"/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41"/>
        <w:gridCol w:w="1026"/>
        <w:gridCol w:w="911"/>
        <w:gridCol w:w="694"/>
        <w:gridCol w:w="1142"/>
        <w:gridCol w:w="911"/>
        <w:gridCol w:w="969"/>
        <w:gridCol w:w="752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标的所在地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建筑面积（m）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拍租年限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第一年租金/起拍价（元）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装修期（天）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每两年资金涨幅（%）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水电情况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宜春北路365号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（原矿山救护队资产）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办公楼第5层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润达小区29栋104号商铺（原汽运公司拆迁分得资产）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独立水电表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高安市高安大道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（原海程公司资产）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高安市高安大道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（原海程公司资产）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16、17号店面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袁山中路685号旁边巷子（原交通局资产）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3间店面及2楼部分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简单装修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袁山中路368号（原农业开发办资产）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办公楼第4、5、6层部分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51840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简单装修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袁山中路20号（原民企局1楼店面）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32670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袁山中路20号（原民企局1楼店面）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袁山西路20号（原民企局办公楼）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办公楼第5层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独立水电表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明月北路467号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（原国土所店面）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鸿运小区22栋4号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（1楼为通道）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鸿运小区20栋15号车库（原汽运公司资产）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1间车库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鸿运小区22栋17号车库（原汽运公司资产）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1间车库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鸿运小区22栋20号车库（原汽运公司资产）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1间车库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鸿运小区22栋22号车库（原汽运公司资产）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1间车库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半边山（原物资局）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1号仓库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578.94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半边山（原物资局）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3号仓库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半边山（原物资局）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4号仓库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43630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高安市高安大道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（原海程公司资产）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高安市高安大道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（原海程公司资产）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宜春北路349号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（原安监局资产）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办公楼第2层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宜春北路183号一栋一单元601室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一栋一单元601室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独立水电表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简单装修，含家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具家电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袁山中路685号旁边巷子（原交通局资产）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袁山西路20号（原民企局办公楼）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底层房屋一间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袁山中路606号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办公楼2层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朝阳路八区E栋161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1套住房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独立水电表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鸿运小区8栋4-5号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鸿运小区13栋17-18号（原汽运公司资产）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鸿运小区14栋6-7号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鸿运小区18栋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（原汽运公司资产）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市委大院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天宝路218附19号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51840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宜春南路298号12栋3单元406室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1套住房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独立水电表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简单装修，含家具家电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宜春南路298号20栋601室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1套住房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146.66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独立水电表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简单装修，含家具家电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宜春南路298号20栋602室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1套住房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146.66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独立水电表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简单装修，含家具家电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铜鼓县城南东路28号（紫东阁3楼）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办公楼3层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417.45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鸿运小区7栋6号2楼右侧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2楼右侧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389.87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半边山仓库（原物资局）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半边山8号仓库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宜丰县解放南路292号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原宜丰老汽车站2间店面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独立电表未接通水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宜丰老车站内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1间平房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宜丰解放路292号（老车站旅社）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办公楼3层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宜丰解放路292号（老车站旅社）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办公楼4层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宜丰解放路292号（老车站旅社）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办公楼5层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3%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水电分表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both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2EwNTEyZmFhMDc0NmY4NGY0M2M2MmFiZTdjYzYifQ=="/>
  </w:docVars>
  <w:rsids>
    <w:rsidRoot w:val="00000000"/>
    <w:rsid w:val="00816543"/>
    <w:rsid w:val="035C0FFE"/>
    <w:rsid w:val="058007CE"/>
    <w:rsid w:val="0CCA521E"/>
    <w:rsid w:val="0EAD1661"/>
    <w:rsid w:val="13A01FDB"/>
    <w:rsid w:val="1DD44CB0"/>
    <w:rsid w:val="21DB16CB"/>
    <w:rsid w:val="24677F37"/>
    <w:rsid w:val="2F992635"/>
    <w:rsid w:val="301E6959"/>
    <w:rsid w:val="36667BB0"/>
    <w:rsid w:val="36AC7B3C"/>
    <w:rsid w:val="3AE07A50"/>
    <w:rsid w:val="3C4C6057"/>
    <w:rsid w:val="3D0A652B"/>
    <w:rsid w:val="40B35E4B"/>
    <w:rsid w:val="48A00B3C"/>
    <w:rsid w:val="48ED6895"/>
    <w:rsid w:val="51A042C3"/>
    <w:rsid w:val="52DC71D1"/>
    <w:rsid w:val="67C40EE4"/>
    <w:rsid w:val="67CF66CD"/>
    <w:rsid w:val="6AF14047"/>
    <w:rsid w:val="6CC52379"/>
    <w:rsid w:val="6EA75B13"/>
    <w:rsid w:val="72547ABE"/>
    <w:rsid w:val="726D5191"/>
    <w:rsid w:val="7B5A49B8"/>
    <w:rsid w:val="7DF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 paragraph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1766</Words>
  <Characters>2244</Characters>
  <Lines>0</Lines>
  <Paragraphs>0</Paragraphs>
  <TotalTime>1</TotalTime>
  <ScaleCrop>false</ScaleCrop>
  <LinksUpToDate>false</LinksUpToDate>
  <CharactersWithSpaces>2355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2022-06-13T06:08:00Z</dcterms:created>
  <dc:creator>Administrator</dc:creator>
  <cp:lastModifiedBy>江南烟雨</cp:lastModifiedBy>
  <cp:lastPrinted>2022-07-12T09:54:42Z</cp:lastPrinted>
  <dcterms:modified xsi:type="dcterms:W3CDTF">2022-07-12T09:54:49Z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5E6709CAD260452082B755B82C88A1A2</vt:lpwstr>
  </property>
</Properties>
</file>